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7D51C" w14:textId="2CACCB80" w:rsidR="00216D2A" w:rsidRPr="001D6519" w:rsidRDefault="00216D2A" w:rsidP="006504C2">
      <w:pPr>
        <w:spacing w:line="380" w:lineRule="exact"/>
        <w:jc w:val="center"/>
        <w:rPr>
          <w:rFonts w:hAnsi="Times New Roman"/>
          <w:spacing w:val="14"/>
          <w:sz w:val="22"/>
          <w:szCs w:val="22"/>
        </w:rPr>
      </w:pPr>
      <w:r w:rsidRPr="001D6519">
        <w:rPr>
          <w:rFonts w:hint="eastAsia"/>
          <w:sz w:val="22"/>
          <w:szCs w:val="22"/>
        </w:rPr>
        <w:t>第52回全日本中学校国語教育研究協議会　香川大会</w:t>
      </w:r>
      <w:r w:rsidR="001D6519" w:rsidRPr="001D6519">
        <w:rPr>
          <w:rFonts w:hint="eastAsia"/>
          <w:sz w:val="22"/>
          <w:szCs w:val="22"/>
        </w:rPr>
        <w:t xml:space="preserve">　</w:t>
      </w:r>
      <w:r w:rsidR="001D6519">
        <w:rPr>
          <w:rFonts w:hint="eastAsia"/>
          <w:sz w:val="22"/>
          <w:szCs w:val="22"/>
        </w:rPr>
        <w:t xml:space="preserve">　</w:t>
      </w:r>
      <w:r w:rsidRPr="001D6519">
        <w:rPr>
          <w:rFonts w:hint="eastAsia"/>
          <w:sz w:val="22"/>
          <w:szCs w:val="22"/>
        </w:rPr>
        <w:t>第32回香川県中学校教育研究会国語部会　研究大会</w:t>
      </w:r>
    </w:p>
    <w:p w14:paraId="798BDBB0" w14:textId="2E867021" w:rsidR="006504C2" w:rsidRPr="001D6519" w:rsidRDefault="006504C2" w:rsidP="001D6519">
      <w:pPr>
        <w:spacing w:line="380" w:lineRule="exact"/>
        <w:jc w:val="center"/>
        <w:rPr>
          <w:rFonts w:hAnsi="Times New Roman"/>
          <w:spacing w:val="14"/>
          <w:sz w:val="22"/>
          <w:szCs w:val="22"/>
        </w:rPr>
      </w:pPr>
      <w:r w:rsidRPr="001D6519">
        <w:rPr>
          <w:rFonts w:hint="eastAsia"/>
          <w:sz w:val="22"/>
          <w:szCs w:val="22"/>
        </w:rPr>
        <w:t>事前研究の手引き</w:t>
      </w:r>
    </w:p>
    <w:p w14:paraId="0577F97C" w14:textId="7F8249BC" w:rsidR="006504C2" w:rsidRPr="001D6519" w:rsidRDefault="006504C2" w:rsidP="001D6519">
      <w:pPr>
        <w:spacing w:line="380" w:lineRule="exact"/>
        <w:jc w:val="right"/>
        <w:rPr>
          <w:rFonts w:hAnsi="Times New Roman"/>
          <w:spacing w:val="14"/>
          <w:sz w:val="22"/>
          <w:szCs w:val="22"/>
        </w:rPr>
      </w:pPr>
      <w:r w:rsidRPr="001D6519">
        <w:rPr>
          <w:rFonts w:hint="eastAsia"/>
          <w:sz w:val="22"/>
          <w:szCs w:val="22"/>
        </w:rPr>
        <w:t xml:space="preserve">　　　　　　　　　　　　　　　　　　　　　　　　</w:t>
      </w:r>
      <w:r w:rsidRPr="001D6519">
        <w:rPr>
          <w:sz w:val="22"/>
          <w:szCs w:val="22"/>
        </w:rPr>
        <w:t xml:space="preserve">  </w:t>
      </w:r>
      <w:r w:rsidRPr="001D6519">
        <w:rPr>
          <w:rFonts w:hint="eastAsia"/>
          <w:sz w:val="22"/>
          <w:szCs w:val="22"/>
        </w:rPr>
        <w:t>香川県中学校教育研究会</w:t>
      </w:r>
      <w:r w:rsidR="00216D2A" w:rsidRPr="001D6519">
        <w:rPr>
          <w:rFonts w:hint="eastAsia"/>
          <w:sz w:val="22"/>
          <w:szCs w:val="22"/>
        </w:rPr>
        <w:t>国語</w:t>
      </w:r>
      <w:r w:rsidR="00D54A09">
        <w:rPr>
          <w:rFonts w:hint="eastAsia"/>
          <w:sz w:val="22"/>
          <w:szCs w:val="22"/>
        </w:rPr>
        <w:t>教育</w:t>
      </w:r>
      <w:r w:rsidR="00F25FA6" w:rsidRPr="001D6519">
        <w:rPr>
          <w:rFonts w:hint="eastAsia"/>
          <w:sz w:val="22"/>
          <w:szCs w:val="22"/>
        </w:rPr>
        <w:t>研究</w:t>
      </w:r>
      <w:r w:rsidRPr="001D6519">
        <w:rPr>
          <w:rFonts w:hint="eastAsia"/>
          <w:sz w:val="22"/>
          <w:szCs w:val="22"/>
        </w:rPr>
        <w:t>部会</w:t>
      </w:r>
    </w:p>
    <w:p w14:paraId="66AAB7FA" w14:textId="77777777" w:rsidR="006504C2" w:rsidRPr="006B183D" w:rsidRDefault="006504C2" w:rsidP="006B183D">
      <w:pPr>
        <w:rPr>
          <w:rFonts w:hAnsi="Times New Roman"/>
          <w:spacing w:val="14"/>
          <w:sz w:val="21"/>
          <w:szCs w:val="21"/>
        </w:rPr>
      </w:pPr>
      <w:r w:rsidRPr="006B183D">
        <w:rPr>
          <w:rFonts w:hint="eastAsia"/>
          <w:sz w:val="21"/>
          <w:szCs w:val="21"/>
        </w:rPr>
        <w:t>１</w:t>
      </w:r>
      <w:r w:rsidRPr="006B183D">
        <w:rPr>
          <w:sz w:val="21"/>
          <w:szCs w:val="21"/>
        </w:rPr>
        <w:t xml:space="preserve">  </w:t>
      </w:r>
      <w:r w:rsidRPr="006B183D">
        <w:rPr>
          <w:rFonts w:hint="eastAsia"/>
          <w:sz w:val="21"/>
          <w:szCs w:val="21"/>
        </w:rPr>
        <w:t>研究主題</w:t>
      </w:r>
    </w:p>
    <w:p w14:paraId="3E60D8EC" w14:textId="424D6D87" w:rsidR="006504C2" w:rsidRPr="006B183D" w:rsidRDefault="00216D2A" w:rsidP="006B183D">
      <w:pPr>
        <w:rPr>
          <w:rFonts w:hAnsi="Times New Roman"/>
          <w:spacing w:val="14"/>
          <w:sz w:val="21"/>
          <w:szCs w:val="21"/>
        </w:rPr>
      </w:pPr>
      <w:r w:rsidRPr="006B183D">
        <w:rPr>
          <w:rFonts w:hAnsi="Times New Roman" w:hint="eastAsia"/>
          <w:spacing w:val="14"/>
          <w:sz w:val="21"/>
          <w:szCs w:val="21"/>
        </w:rPr>
        <w:t xml:space="preserve">　　　生きて働く力を育む国語教室　～言葉による見方・考え方を働かせ、深まる学び～</w:t>
      </w:r>
    </w:p>
    <w:p w14:paraId="246EAD2D" w14:textId="77777777" w:rsidR="00216D2A" w:rsidRPr="0008325B" w:rsidRDefault="006504C2" w:rsidP="006B183D">
      <w:pPr>
        <w:rPr>
          <w:rFonts w:hAnsi="ＭＳ 明朝"/>
          <w:sz w:val="21"/>
          <w:szCs w:val="21"/>
        </w:rPr>
      </w:pPr>
      <w:r w:rsidRPr="0008325B">
        <w:rPr>
          <w:rFonts w:hint="eastAsia"/>
          <w:sz w:val="21"/>
          <w:szCs w:val="21"/>
        </w:rPr>
        <w:t>２</w:t>
      </w:r>
      <w:r w:rsidR="00E42DD0" w:rsidRPr="0008325B">
        <w:rPr>
          <w:rFonts w:hint="eastAsia"/>
          <w:sz w:val="21"/>
          <w:szCs w:val="21"/>
        </w:rPr>
        <w:t xml:space="preserve">　</w:t>
      </w:r>
      <w:r w:rsidR="00216D2A" w:rsidRPr="0008325B">
        <w:rPr>
          <w:rFonts w:hAnsi="ＭＳ 明朝" w:hint="eastAsia"/>
          <w:sz w:val="21"/>
          <w:szCs w:val="21"/>
        </w:rPr>
        <w:t>研究主題に込めた願い</w:t>
      </w:r>
    </w:p>
    <w:p w14:paraId="44F67036" w14:textId="6840ED53" w:rsidR="00216D2A" w:rsidRPr="0008325B" w:rsidRDefault="001D6519" w:rsidP="006B183D">
      <w:pPr>
        <w:rPr>
          <w:rFonts w:hAnsi="ＭＳ 明朝"/>
          <w:sz w:val="21"/>
          <w:szCs w:val="21"/>
        </w:rPr>
      </w:pPr>
      <w:r>
        <w:rPr>
          <w:rFonts w:hAnsi="ＭＳ 明朝" w:hint="eastAsia"/>
          <w:noProof/>
          <w:sz w:val="21"/>
          <w:szCs w:val="21"/>
        </w:rPr>
        <mc:AlternateContent>
          <mc:Choice Requires="wps">
            <w:drawing>
              <wp:anchor distT="0" distB="0" distL="114300" distR="114300" simplePos="0" relativeHeight="251659264" behindDoc="0" locked="0" layoutInCell="1" allowOverlap="1" wp14:anchorId="1DDD7ABF" wp14:editId="759D68CA">
                <wp:simplePos x="0" y="0"/>
                <wp:positionH relativeFrom="column">
                  <wp:posOffset>-15240</wp:posOffset>
                </wp:positionH>
                <wp:positionV relativeFrom="paragraph">
                  <wp:posOffset>217805</wp:posOffset>
                </wp:positionV>
                <wp:extent cx="6191250" cy="400050"/>
                <wp:effectExtent l="0" t="0" r="19050" b="19050"/>
                <wp:wrapNone/>
                <wp:docPr id="2096653858" name="正方形/長方形 1"/>
                <wp:cNvGraphicFramePr/>
                <a:graphic xmlns:a="http://schemas.openxmlformats.org/drawingml/2006/main">
                  <a:graphicData uri="http://schemas.microsoft.com/office/word/2010/wordprocessingShape">
                    <wps:wsp>
                      <wps:cNvSpPr/>
                      <wps:spPr>
                        <a:xfrm>
                          <a:off x="0" y="0"/>
                          <a:ext cx="6191250" cy="400050"/>
                        </a:xfrm>
                        <a:prstGeom prst="rect">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C8E87E" id="正方形/長方形 1" o:spid="_x0000_s1026" style="position:absolute;left:0;text-align:left;margin-left:-1.2pt;margin-top:17.15pt;width:487.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" filled="f" strokecolor="#0a121c [484]"/>
            </w:pict>
          </mc:Fallback>
        </mc:AlternateContent>
      </w:r>
      <w:r w:rsidR="00216D2A" w:rsidRPr="0008325B">
        <w:rPr>
          <w:rFonts w:hAnsi="ＭＳ 明朝" w:hint="eastAsia"/>
          <w:sz w:val="21"/>
          <w:szCs w:val="21"/>
        </w:rPr>
        <w:t xml:space="preserve">（１）目指す生徒の姿　</w:t>
      </w:r>
    </w:p>
    <w:p w14:paraId="07B074E1" w14:textId="77777777" w:rsidR="001D6519" w:rsidRPr="002A2F65" w:rsidRDefault="001D6519" w:rsidP="001D6519">
      <w:pPr>
        <w:rPr>
          <w:rFonts w:hAnsi="ＭＳ 明朝"/>
          <w:sz w:val="22"/>
        </w:rPr>
      </w:pPr>
      <w:r w:rsidRPr="00323C28">
        <w:rPr>
          <w:rFonts w:hAnsi="ＭＳ 明朝" w:hint="eastAsia"/>
          <w:sz w:val="22"/>
        </w:rPr>
        <w:t>「言葉による見方・考え方」を働かせることで</w:t>
      </w:r>
      <w:r w:rsidRPr="00323C28">
        <w:rPr>
          <w:rFonts w:hAnsi="ＭＳ 明朝"/>
          <w:sz w:val="22"/>
        </w:rPr>
        <w:t>学びが深まることを実感し、</w:t>
      </w:r>
      <w:r w:rsidRPr="00323C28">
        <w:rPr>
          <w:rFonts w:hAnsi="ＭＳ 明朝" w:hint="eastAsia"/>
          <w:sz w:val="22"/>
        </w:rPr>
        <w:t>学んだ</w:t>
      </w:r>
      <w:r w:rsidRPr="00323C28">
        <w:rPr>
          <w:rFonts w:hAnsi="ＭＳ 明朝"/>
          <w:sz w:val="22"/>
        </w:rPr>
        <w:t>力を生かし</w:t>
      </w:r>
      <w:r w:rsidRPr="00323C28">
        <w:rPr>
          <w:rFonts w:hAnsi="ＭＳ 明朝" w:hint="eastAsia"/>
          <w:sz w:val="22"/>
        </w:rPr>
        <w:t>て</w:t>
      </w:r>
      <w:r w:rsidRPr="00323C28">
        <w:rPr>
          <w:rFonts w:hAnsi="ＭＳ 明朝"/>
          <w:sz w:val="22"/>
        </w:rPr>
        <w:t>未知の状況</w:t>
      </w:r>
      <w:r w:rsidRPr="00323C28">
        <w:rPr>
          <w:rFonts w:hAnsi="ＭＳ 明朝" w:hint="eastAsia"/>
          <w:sz w:val="22"/>
        </w:rPr>
        <w:t>にも</w:t>
      </w:r>
      <w:r w:rsidRPr="00323C28">
        <w:rPr>
          <w:rFonts w:hAnsi="ＭＳ 明朝"/>
          <w:sz w:val="22"/>
        </w:rPr>
        <w:t>対応し、</w:t>
      </w:r>
      <w:r w:rsidRPr="00323C28">
        <w:rPr>
          <w:rFonts w:hAnsi="ＭＳ 明朝" w:hint="eastAsia"/>
          <w:sz w:val="22"/>
        </w:rPr>
        <w:t>人生や</w:t>
      </w:r>
      <w:r w:rsidRPr="00323C28">
        <w:rPr>
          <w:rFonts w:hAnsi="ＭＳ 明朝"/>
          <w:sz w:val="22"/>
        </w:rPr>
        <w:t>生活</w:t>
      </w:r>
      <w:r w:rsidRPr="00323C28">
        <w:rPr>
          <w:rFonts w:hAnsi="ＭＳ 明朝" w:hint="eastAsia"/>
          <w:sz w:val="22"/>
        </w:rPr>
        <w:t>を</w:t>
      </w:r>
      <w:r w:rsidRPr="00323C28">
        <w:rPr>
          <w:rFonts w:hAnsi="ＭＳ 明朝"/>
          <w:sz w:val="22"/>
        </w:rPr>
        <w:t>豊かにしようと</w:t>
      </w:r>
      <w:r w:rsidRPr="00323C28">
        <w:rPr>
          <w:rFonts w:hAnsi="ＭＳ 明朝" w:hint="eastAsia"/>
          <w:sz w:val="22"/>
        </w:rPr>
        <w:t>学び</w:t>
      </w:r>
      <w:r w:rsidRPr="00323C28">
        <w:rPr>
          <w:rFonts w:hAnsi="ＭＳ 明朝"/>
          <w:sz w:val="22"/>
        </w:rPr>
        <w:t>続ける</w:t>
      </w:r>
      <w:r>
        <w:rPr>
          <w:rFonts w:hAnsi="ＭＳ 明朝" w:hint="eastAsia"/>
          <w:sz w:val="22"/>
        </w:rPr>
        <w:t>生徒</w:t>
      </w:r>
    </w:p>
    <w:p w14:paraId="7CE61716" w14:textId="35781762" w:rsidR="00216D2A" w:rsidRPr="0008325B" w:rsidRDefault="00216D2A" w:rsidP="001D6519">
      <w:pPr>
        <w:ind w:firstLineChars="100" w:firstLine="186"/>
        <w:rPr>
          <w:rFonts w:hAnsi="ＭＳ 明朝"/>
          <w:sz w:val="21"/>
          <w:szCs w:val="21"/>
        </w:rPr>
      </w:pPr>
      <w:r w:rsidRPr="0008325B">
        <w:rPr>
          <w:rFonts w:hAnsi="ＭＳ 明朝" w:hint="eastAsia"/>
          <w:sz w:val="21"/>
          <w:szCs w:val="21"/>
        </w:rPr>
        <w:t>現在、私たちの日常にはどんどん人工知能（AI）が普及し、生成AIも台頭してきた。また、突然訪れた新型コロナウイルス感染拡大など、先行き不透明な予測困難な時代が到来している。このように急激に変化する時代を生き抜くためには、様々な知識や情報を活用しながら、自分の考えを形成したり、新しいアイデアを創造したりする力をもった人材が求められている。</w:t>
      </w:r>
      <w:r w:rsidRPr="0008325B">
        <w:rPr>
          <w:rFonts w:hAnsi="ＭＳ 明朝" w:hint="eastAsia"/>
          <w:color w:val="000000" w:themeColor="text1"/>
          <w:sz w:val="21"/>
          <w:szCs w:val="21"/>
        </w:rPr>
        <w:t>アインシュタインは「学校で学んだことを一切忘れてしまった時に、なお残っているもの、それこそが教育だ」と述べたと言う。学びへの向きあい方や構えが生徒たちの中に残り、授業での学びが授業の中だけでとどまるのではなく、日常生活をはじめとする人生や社会、さらには未知の状況にも対応できる「生きて働く力」をこそ育んで</w:t>
      </w:r>
      <w:r w:rsidRPr="0008325B">
        <w:rPr>
          <w:rFonts w:hAnsi="ＭＳ 明朝" w:hint="eastAsia"/>
          <w:sz w:val="21"/>
          <w:szCs w:val="21"/>
        </w:rPr>
        <w:t>いきたい。</w:t>
      </w:r>
    </w:p>
    <w:p w14:paraId="221098A9" w14:textId="77777777" w:rsidR="00216D2A" w:rsidRPr="0008325B" w:rsidRDefault="00216D2A" w:rsidP="006B183D">
      <w:pPr>
        <w:rPr>
          <w:rFonts w:hAnsi="ＭＳ 明朝"/>
          <w:sz w:val="21"/>
          <w:szCs w:val="21"/>
        </w:rPr>
      </w:pPr>
      <w:r w:rsidRPr="0008325B">
        <w:rPr>
          <w:rFonts w:hAnsi="ＭＳ 明朝" w:hint="eastAsia"/>
          <w:sz w:val="21"/>
          <w:szCs w:val="21"/>
        </w:rPr>
        <w:t>（２）「生きて働く力」について</w:t>
      </w:r>
    </w:p>
    <w:p w14:paraId="71BD53FF" w14:textId="77777777" w:rsidR="00216D2A" w:rsidRPr="0008325B" w:rsidRDefault="00216D2A" w:rsidP="006B183D">
      <w:pPr>
        <w:ind w:firstLineChars="100" w:firstLine="186"/>
        <w:rPr>
          <w:rFonts w:hAnsi="ＭＳ 明朝"/>
          <w:sz w:val="21"/>
          <w:szCs w:val="21"/>
        </w:rPr>
      </w:pPr>
      <w:r w:rsidRPr="0008325B">
        <w:rPr>
          <w:rFonts w:hAnsi="ＭＳ 明朝" w:hint="eastAsia"/>
          <w:sz w:val="21"/>
          <w:szCs w:val="21"/>
        </w:rPr>
        <w:t>香川県では「生きて働く言葉の力」の育成を目指</w:t>
      </w:r>
      <w:r w:rsidRPr="0008325B">
        <w:rPr>
          <w:rFonts w:hAnsi="ＭＳ 明朝" w:hint="eastAsia"/>
          <w:color w:val="000000" w:themeColor="text1"/>
          <w:sz w:val="21"/>
          <w:szCs w:val="21"/>
        </w:rPr>
        <w:t>し、平成21年度からこれまで研究を続けてきた。「生きて働く言葉の力」を育むためのねらいやつけさせたい言葉の力を明確にしたうえで、生徒が主体的に学習に取り組めるように指導内容や方法を工夫してきたため、指導法の工夫には一定の成果が得られた。しかし、一方で、本当に子どもたちにとって、先に述べたような「生きて働く」力となっているのか、授業の中だけにとどまったものになっていないか、そもそも「生きて働く力」とは何か、という課題も見えてきた。具体的にどのような状態であれば、私たちが目指す「生きて働く力」が育ったと言えるの</w:t>
      </w:r>
      <w:r w:rsidRPr="0008325B">
        <w:rPr>
          <w:rFonts w:hAnsi="ＭＳ 明朝" w:hint="eastAsia"/>
          <w:sz w:val="21"/>
          <w:szCs w:val="21"/>
        </w:rPr>
        <w:t>か、原点に立ち戻り研究を行うこととした。</w:t>
      </w:r>
    </w:p>
    <w:p w14:paraId="074C5E38" w14:textId="77777777" w:rsidR="00216D2A" w:rsidRPr="0008325B" w:rsidRDefault="00216D2A" w:rsidP="006B183D">
      <w:pPr>
        <w:ind w:firstLineChars="100" w:firstLine="186"/>
        <w:rPr>
          <w:rFonts w:hAnsi="ＭＳ 明朝"/>
          <w:color w:val="000000" w:themeColor="text1"/>
          <w:sz w:val="21"/>
          <w:szCs w:val="21"/>
        </w:rPr>
      </w:pPr>
      <w:r w:rsidRPr="0008325B">
        <w:rPr>
          <w:rFonts w:hAnsi="ＭＳ 明朝" w:hint="eastAsia"/>
          <w:color w:val="000000" w:themeColor="text1"/>
          <w:sz w:val="21"/>
          <w:szCs w:val="21"/>
        </w:rPr>
        <w:t>そこで、まず、私たちは資質・能力の三つの柱を説明する言葉に着目した。三つの柱では「知識・技能」「思考力・判断力・表現力等」「学びに向かう力、人間性」という言葉に注目が集まるが、私たちは、むしろ、「</w:t>
      </w:r>
      <w:r w:rsidRPr="0008325B">
        <w:rPr>
          <w:rFonts w:hAnsi="ＭＳ 明朝" w:hint="eastAsia"/>
          <w:b/>
          <w:color w:val="000000" w:themeColor="text1"/>
          <w:sz w:val="21"/>
          <w:szCs w:val="21"/>
          <w:u w:val="single"/>
        </w:rPr>
        <w:t>実際の社会や生活で生きて働く</w:t>
      </w:r>
      <w:r w:rsidRPr="0008325B">
        <w:rPr>
          <w:rFonts w:hAnsi="ＭＳ 明朝" w:hint="eastAsia"/>
          <w:color w:val="000000" w:themeColor="text1"/>
          <w:sz w:val="21"/>
          <w:szCs w:val="21"/>
        </w:rPr>
        <w:t>（知識・技能）」「</w:t>
      </w:r>
      <w:r w:rsidRPr="0008325B">
        <w:rPr>
          <w:rFonts w:hAnsi="ＭＳ 明朝" w:hint="eastAsia"/>
          <w:b/>
          <w:color w:val="000000" w:themeColor="text1"/>
          <w:sz w:val="21"/>
          <w:szCs w:val="21"/>
          <w:u w:val="single"/>
        </w:rPr>
        <w:t>未知の状況にも対応できる</w:t>
      </w:r>
      <w:r w:rsidRPr="0008325B">
        <w:rPr>
          <w:rFonts w:hAnsi="ＭＳ 明朝" w:hint="eastAsia"/>
          <w:color w:val="000000" w:themeColor="text1"/>
          <w:sz w:val="21"/>
          <w:szCs w:val="21"/>
        </w:rPr>
        <w:t>（思考力・判断力・表現力等）」「</w:t>
      </w:r>
      <w:r w:rsidRPr="0008325B">
        <w:rPr>
          <w:rFonts w:hAnsi="ＭＳ 明朝" w:hint="eastAsia"/>
          <w:b/>
          <w:color w:val="000000" w:themeColor="text1"/>
          <w:sz w:val="21"/>
          <w:szCs w:val="21"/>
          <w:u w:val="single"/>
        </w:rPr>
        <w:t>学んだことを人生や社会に生かそうとする</w:t>
      </w:r>
      <w:r w:rsidRPr="0008325B">
        <w:rPr>
          <w:rFonts w:hAnsi="ＭＳ 明朝" w:hint="eastAsia"/>
          <w:color w:val="000000" w:themeColor="text1"/>
          <w:sz w:val="21"/>
          <w:szCs w:val="21"/>
        </w:rPr>
        <w:t>（学びに向かう力、人間性）」という言葉に着目した。今大会では、「生きて働く力」を育むために、国語教室で習得した力を、どう人生や社会の中で活用できるようになるのかということに焦点をあて、そのことを生徒たち自身が実感できる授業を目指していきたいと考えた。</w:t>
      </w:r>
    </w:p>
    <w:p w14:paraId="4FDB0723" w14:textId="268FCE68" w:rsidR="00216D2A" w:rsidRPr="0008325B" w:rsidRDefault="001D6519" w:rsidP="006B183D">
      <w:pPr>
        <w:rPr>
          <w:rFonts w:hAnsi="ＭＳ 明朝"/>
          <w:sz w:val="21"/>
          <w:szCs w:val="21"/>
        </w:rPr>
      </w:pPr>
      <w:r>
        <w:rPr>
          <w:rFonts w:hAnsi="ＭＳ 明朝" w:hint="eastAsia"/>
          <w:noProof/>
          <w:sz w:val="21"/>
          <w:szCs w:val="21"/>
        </w:rPr>
        <mc:AlternateContent>
          <mc:Choice Requires="wps">
            <w:drawing>
              <wp:anchor distT="0" distB="0" distL="114300" distR="114300" simplePos="0" relativeHeight="251660288" behindDoc="0" locked="0" layoutInCell="1" allowOverlap="1" wp14:anchorId="75EE2878" wp14:editId="1F80E2B8">
                <wp:simplePos x="0" y="0"/>
                <wp:positionH relativeFrom="column">
                  <wp:posOffset>-59690</wp:posOffset>
                </wp:positionH>
                <wp:positionV relativeFrom="paragraph">
                  <wp:posOffset>228600</wp:posOffset>
                </wp:positionV>
                <wp:extent cx="6242050" cy="406400"/>
                <wp:effectExtent l="0" t="0" r="25400" b="12700"/>
                <wp:wrapNone/>
                <wp:docPr id="1070875939" name="正方形/長方形 2"/>
                <wp:cNvGraphicFramePr/>
                <a:graphic xmlns:a="http://schemas.openxmlformats.org/drawingml/2006/main">
                  <a:graphicData uri="http://schemas.microsoft.com/office/word/2010/wordprocessingShape">
                    <wps:wsp>
                      <wps:cNvSpPr/>
                      <wps:spPr>
                        <a:xfrm>
                          <a:off x="0" y="0"/>
                          <a:ext cx="6242050" cy="406400"/>
                        </a:xfrm>
                        <a:prstGeom prst="rect">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185BD7" id="正方形/長方形 2" o:spid="_x0000_s1026" style="position:absolute;left:0;text-align:left;margin-left:-4.7pt;margin-top:18pt;width:491.5pt;height:3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" filled="f" strokecolor="#0a121c [484]"/>
            </w:pict>
          </mc:Fallback>
        </mc:AlternateContent>
      </w:r>
      <w:r w:rsidR="00216D2A" w:rsidRPr="0008325B">
        <w:rPr>
          <w:rFonts w:hAnsi="ＭＳ 明朝" w:hint="eastAsia"/>
          <w:sz w:val="21"/>
          <w:szCs w:val="21"/>
        </w:rPr>
        <w:t>（３）</w:t>
      </w:r>
      <w:bookmarkStart w:id="0" w:name="_Hlk121841381"/>
      <w:r w:rsidR="00216D2A" w:rsidRPr="0008325B">
        <w:rPr>
          <w:rFonts w:hAnsi="ＭＳ 明朝" w:hint="eastAsia"/>
          <w:sz w:val="21"/>
          <w:szCs w:val="21"/>
        </w:rPr>
        <w:t>「言葉による見方・考え方」について</w:t>
      </w:r>
    </w:p>
    <w:p w14:paraId="5F3AEDB0" w14:textId="77777777" w:rsidR="001D6519" w:rsidRPr="00013A9E" w:rsidRDefault="00216D2A" w:rsidP="001D6519">
      <w:pPr>
        <w:rPr>
          <w:rFonts w:hAnsi="ＭＳ 明朝"/>
          <w:sz w:val="22"/>
        </w:rPr>
      </w:pPr>
      <w:r w:rsidRPr="0008325B">
        <w:rPr>
          <w:rFonts w:hAnsi="ＭＳ 明朝" w:hint="eastAsia"/>
          <w:sz w:val="21"/>
          <w:szCs w:val="21"/>
        </w:rPr>
        <w:t xml:space="preserve">　</w:t>
      </w:r>
      <w:r w:rsidR="001D6519" w:rsidRPr="00013A9E">
        <w:rPr>
          <w:rFonts w:hAnsi="ＭＳ 明朝" w:hint="eastAsia"/>
          <w:sz w:val="22"/>
        </w:rPr>
        <w:t>生徒が学習時だけでなく</w:t>
      </w:r>
      <w:r w:rsidR="001D6519" w:rsidRPr="00013A9E">
        <w:rPr>
          <w:rFonts w:hAnsi="ＭＳ 明朝" w:hint="eastAsia"/>
          <w:sz w:val="22"/>
          <w:u w:val="single"/>
        </w:rPr>
        <w:t>生活全体の中で、自分の思いや考えを深めるために</w:t>
      </w:r>
      <w:r w:rsidR="001D6519" w:rsidRPr="00013A9E">
        <w:rPr>
          <w:rFonts w:hAnsi="ＭＳ 明朝" w:hint="eastAsia"/>
          <w:sz w:val="22"/>
        </w:rPr>
        <w:t>、言葉と言葉、言葉と対象の関係を、言葉の意味、働き、使い方等に着目して捉えたり問い直したりして、言葉への自覚を高めること。</w:t>
      </w:r>
    </w:p>
    <w:p w14:paraId="20AD99D1" w14:textId="72BD528D" w:rsidR="00216D2A" w:rsidRPr="0008325B" w:rsidRDefault="00216D2A" w:rsidP="006B183D">
      <w:pPr>
        <w:rPr>
          <w:rFonts w:hAnsi="ＭＳ 明朝"/>
          <w:sz w:val="21"/>
          <w:szCs w:val="21"/>
        </w:rPr>
      </w:pPr>
      <w:r w:rsidRPr="0008325B">
        <w:rPr>
          <w:rFonts w:hAnsi="ＭＳ 明朝" w:hint="eastAsia"/>
          <w:sz w:val="21"/>
          <w:szCs w:val="21"/>
        </w:rPr>
        <w:t>学習指導要領解説には、「言葉による見方・考え方を働かせるとは、生徒が学習の中で、対象と言葉、言葉と言葉との関係を、言葉の意味、働き、使い方等に着目して捉えたり問い直したりして、言葉への自覚を高めることであると考えられる。」と記載されている。</w:t>
      </w:r>
    </w:p>
    <w:p w14:paraId="3EF2A112" w14:textId="77777777" w:rsidR="00216D2A" w:rsidRPr="0008325B" w:rsidRDefault="00216D2A" w:rsidP="006B183D">
      <w:pPr>
        <w:rPr>
          <w:rFonts w:hAnsi="ＭＳ 明朝"/>
          <w:color w:val="000000" w:themeColor="text1"/>
          <w:sz w:val="21"/>
          <w:szCs w:val="21"/>
        </w:rPr>
      </w:pPr>
      <w:r w:rsidRPr="0008325B">
        <w:rPr>
          <w:rFonts w:hAnsi="ＭＳ 明朝" w:hint="eastAsia"/>
          <w:sz w:val="21"/>
          <w:szCs w:val="21"/>
        </w:rPr>
        <w:t xml:space="preserve">　しかし、生徒たちにとっても教員にとっても「『言葉による見方・考え方』を働かせる」「『言葉による見方・考</w:t>
      </w:r>
      <w:r w:rsidRPr="0008325B">
        <w:rPr>
          <w:rFonts w:hAnsi="ＭＳ 明朝" w:hint="eastAsia"/>
          <w:color w:val="000000" w:themeColor="text1"/>
          <w:sz w:val="21"/>
          <w:szCs w:val="21"/>
        </w:rPr>
        <w:t>え方』を鍛える」ということはイメージしづらい。国語科には「教科内容がない」という指摘は古くからされてきた。授業で「確かなもの」「新しいこと」として何を学んだか、どんな力がついたかが曖昧で、上達感、達成感に欠け、生徒たちの探究心や好奇心を刺激するような学習が行われてこなかったからである。他教科のように、普遍的、客観的な「知識・技能」として何を学ぶか、本当に学ぶべき価値のある「知識・技能」とは何か、どんな思考を働かせるべきかといったことを明確にした学習活動が展開される必要がある。</w:t>
      </w:r>
    </w:p>
    <w:p w14:paraId="7D1A0794" w14:textId="77777777" w:rsidR="00216D2A" w:rsidRPr="0008325B" w:rsidRDefault="00216D2A" w:rsidP="006B183D">
      <w:pPr>
        <w:ind w:firstLineChars="100" w:firstLine="186"/>
        <w:rPr>
          <w:rFonts w:hAnsi="ＭＳ 明朝"/>
          <w:color w:val="000000" w:themeColor="text1"/>
          <w:sz w:val="21"/>
          <w:szCs w:val="21"/>
        </w:rPr>
      </w:pPr>
      <w:r w:rsidRPr="0008325B">
        <w:rPr>
          <w:rFonts w:hAnsi="ＭＳ 明朝" w:hint="eastAsia"/>
          <w:color w:val="000000" w:themeColor="text1"/>
          <w:sz w:val="21"/>
          <w:szCs w:val="21"/>
        </w:rPr>
        <w:t>そこで、本研究では、「言葉による見方・考え方」を、次のように捉え直した。</w:t>
      </w:r>
    </w:p>
    <w:p w14:paraId="55F799CF" w14:textId="2B92CDDF" w:rsidR="00216D2A" w:rsidRDefault="00216D2A" w:rsidP="006B183D">
      <w:pPr>
        <w:ind w:firstLineChars="100" w:firstLine="186"/>
        <w:rPr>
          <w:rFonts w:hAnsi="ＭＳ 明朝"/>
          <w:sz w:val="21"/>
          <w:szCs w:val="21"/>
        </w:rPr>
      </w:pPr>
      <w:r w:rsidRPr="0008325B">
        <w:rPr>
          <w:rFonts w:hAnsi="ＭＳ 明朝" w:hint="eastAsia"/>
          <w:color w:val="000000" w:themeColor="text1"/>
          <w:sz w:val="21"/>
          <w:szCs w:val="21"/>
        </w:rPr>
        <w:t>「見方」については、「どのような視点で物事を捉えるか」、「考え方」については、「着目した視点でどのように思</w:t>
      </w:r>
      <w:r w:rsidRPr="0008325B">
        <w:rPr>
          <w:rFonts w:hAnsi="ＭＳ 明朝" w:hint="eastAsia"/>
          <w:color w:val="000000" w:themeColor="text1"/>
          <w:sz w:val="21"/>
          <w:szCs w:val="21"/>
        </w:rPr>
        <w:lastRenderedPageBreak/>
        <w:t>考していくか」を表すものと解し、「言葉による見方」を「人物設定・語り手・象徴・根拠・中心・付加・色彩</w:t>
      </w:r>
      <w:r w:rsidRPr="0008325B">
        <w:rPr>
          <w:rFonts w:hAnsi="ＭＳ 明朝" w:hint="eastAsia"/>
          <w:sz w:val="21"/>
          <w:szCs w:val="21"/>
        </w:rPr>
        <w:t>」など言語事項に係る視点とし、「考え方」を、「比べる・つなげる・変える」などの汎用性のある思考の様式であると定義した。これらの組み合わせを「言葉による見方・考え方」であるとイメージし、授業を構想した。</w:t>
      </w:r>
    </w:p>
    <w:p w14:paraId="3F82D8BF" w14:textId="4A7D5671" w:rsidR="0008325B" w:rsidRPr="0008325B" w:rsidRDefault="0008325B" w:rsidP="006B183D">
      <w:pPr>
        <w:rPr>
          <w:rFonts w:hAnsi="ＭＳ 明朝"/>
          <w:sz w:val="21"/>
          <w:szCs w:val="21"/>
        </w:rPr>
      </w:pPr>
      <w:r>
        <w:rPr>
          <w:rFonts w:hAnsi="ＭＳ 明朝" w:hint="eastAsia"/>
          <w:sz w:val="21"/>
          <w:szCs w:val="21"/>
        </w:rPr>
        <w:t>３　研究概要</w:t>
      </w:r>
    </w:p>
    <w:bookmarkEnd w:id="0"/>
    <w:p w14:paraId="42817797" w14:textId="1A204E3C" w:rsidR="00216D2A" w:rsidRPr="0008325B" w:rsidRDefault="00216D2A" w:rsidP="006B183D">
      <w:pPr>
        <w:rPr>
          <w:rFonts w:hAnsi="ＭＳ 明朝"/>
          <w:sz w:val="21"/>
          <w:szCs w:val="21"/>
        </w:rPr>
      </w:pPr>
      <w:r w:rsidRPr="0008325B">
        <w:rPr>
          <w:rFonts w:hAnsi="ＭＳ 明朝" w:hint="eastAsia"/>
          <w:sz w:val="21"/>
          <w:szCs w:val="21"/>
        </w:rPr>
        <w:t>（</w:t>
      </w:r>
      <w:r w:rsidR="006B183D">
        <w:rPr>
          <w:rFonts w:hAnsi="ＭＳ 明朝" w:hint="eastAsia"/>
          <w:sz w:val="21"/>
          <w:szCs w:val="21"/>
        </w:rPr>
        <w:t>１</w:t>
      </w:r>
      <w:r w:rsidRPr="0008325B">
        <w:rPr>
          <w:rFonts w:hAnsi="ＭＳ 明朝" w:hint="eastAsia"/>
          <w:sz w:val="21"/>
          <w:szCs w:val="21"/>
        </w:rPr>
        <w:t>）習得・活用を意識した単元構成</w:t>
      </w:r>
    </w:p>
    <w:p w14:paraId="7BD5AF79" w14:textId="77777777" w:rsidR="00216D2A" w:rsidRPr="0008325B" w:rsidRDefault="00216D2A" w:rsidP="006B183D">
      <w:pPr>
        <w:rPr>
          <w:rFonts w:hAnsi="ＭＳ 明朝"/>
          <w:color w:val="000000" w:themeColor="text1"/>
          <w:sz w:val="21"/>
          <w:szCs w:val="21"/>
        </w:rPr>
      </w:pPr>
      <w:r w:rsidRPr="0008325B">
        <w:rPr>
          <w:rFonts w:hAnsi="ＭＳ 明朝" w:hint="eastAsia"/>
          <w:sz w:val="21"/>
          <w:szCs w:val="21"/>
        </w:rPr>
        <w:t xml:space="preserve">　国語科の授業の中で、「生きて働く力」を育むために、単元構成の中に、「言葉の力に気付く習得の場面」と「習得した力を別の教材で活用する場面」を意図的に組み込むことで、言葉による見方・考え方を鍛え、自分の習得した力を人生や社会生活の中で生かす可能性を生徒たち自身が感じられるのではないかと考えた。これまでも、「習得」「活用」の授業は行われてきたが、「習得」後の「活用」に限られている、「活用</w:t>
      </w:r>
      <w:r w:rsidRPr="0008325B">
        <w:rPr>
          <w:rFonts w:hAnsi="ＭＳ 明朝" w:hint="eastAsia"/>
          <w:color w:val="000000" w:themeColor="text1"/>
          <w:sz w:val="21"/>
          <w:szCs w:val="21"/>
        </w:rPr>
        <w:t>」が生徒にとって本当の意味での「活用」には至っていないなどの課題があった。「活用」する中で新たな力を「習得」することも可能であるため、「習得」と「活用」の往還を意識し、単元構成に「活用」を意図的に組み込む。「活用」では、人生や社会生活で生かす場面や、未知の状況にも対応できるような力を発揮する場面などを想定した教材の選定を行い、子どもたちが具体的に資質・能力をどう人生や社会生活の中で生かしていくのかを実感できる場面を取り入れていく。</w:t>
      </w:r>
    </w:p>
    <w:p w14:paraId="4FB9AA12" w14:textId="031E430D" w:rsidR="00216D2A" w:rsidRPr="0008325B" w:rsidRDefault="00216D2A" w:rsidP="006B183D">
      <w:pPr>
        <w:rPr>
          <w:rFonts w:hAnsi="ＭＳ 明朝"/>
          <w:color w:val="000000" w:themeColor="text1"/>
          <w:sz w:val="21"/>
          <w:szCs w:val="21"/>
        </w:rPr>
      </w:pPr>
      <w:r w:rsidRPr="0008325B">
        <w:rPr>
          <w:rFonts w:hAnsi="ＭＳ 明朝" w:hint="eastAsia"/>
          <w:color w:val="000000" w:themeColor="text1"/>
          <w:sz w:val="21"/>
          <w:szCs w:val="21"/>
        </w:rPr>
        <w:t>（</w:t>
      </w:r>
      <w:r w:rsidR="006B183D">
        <w:rPr>
          <w:rFonts w:hAnsi="ＭＳ 明朝" w:hint="eastAsia"/>
          <w:color w:val="000000" w:themeColor="text1"/>
          <w:sz w:val="21"/>
          <w:szCs w:val="21"/>
        </w:rPr>
        <w:t>２</w:t>
      </w:r>
      <w:r w:rsidRPr="0008325B">
        <w:rPr>
          <w:rFonts w:hAnsi="ＭＳ 明朝" w:hint="eastAsia"/>
          <w:color w:val="000000" w:themeColor="text1"/>
          <w:sz w:val="21"/>
          <w:szCs w:val="21"/>
        </w:rPr>
        <w:t>）習得した力を自覚できるための、視覚化や可視化</w:t>
      </w:r>
    </w:p>
    <w:p w14:paraId="3D48D948" w14:textId="47F68EE8" w:rsidR="00216D2A" w:rsidRPr="0008325B" w:rsidRDefault="00216D2A" w:rsidP="006B183D">
      <w:pPr>
        <w:rPr>
          <w:rFonts w:hAnsi="ＭＳ 明朝"/>
          <w:color w:val="000000" w:themeColor="text1"/>
          <w:sz w:val="21"/>
          <w:szCs w:val="21"/>
        </w:rPr>
      </w:pPr>
      <w:r w:rsidRPr="0008325B">
        <w:rPr>
          <w:rFonts w:hAnsi="ＭＳ 明朝" w:hint="eastAsia"/>
          <w:color w:val="000000" w:themeColor="text1"/>
          <w:sz w:val="21"/>
          <w:szCs w:val="21"/>
        </w:rPr>
        <w:t xml:space="preserve">　習得した力を活用していく中では、授業の中で、自らの学びをいかに自覚させるのかというのがポイントとなる。習得した力がどんな力で、どのような時に役立つかまでを理解していなければ活用することは難しい。習得した力を視覚化したり考えを可視化したりするなどの意図的な工夫を行うことで、学んだ力の自覚を高め活用へと</w:t>
      </w:r>
      <w:r w:rsidR="006B183D">
        <w:rPr>
          <w:rFonts w:hAnsi="ＭＳ 明朝" w:hint="eastAsia"/>
          <w:color w:val="000000" w:themeColor="text1"/>
          <w:sz w:val="21"/>
          <w:szCs w:val="21"/>
        </w:rPr>
        <w:t>繋げていく。（３</w:t>
      </w:r>
      <w:r w:rsidRPr="0008325B">
        <w:rPr>
          <w:rFonts w:hAnsi="ＭＳ 明朝" w:hint="eastAsia"/>
          <w:color w:val="000000" w:themeColor="text1"/>
          <w:sz w:val="21"/>
          <w:szCs w:val="21"/>
        </w:rPr>
        <w:t>）生徒の「学びの場」の具体化</w:t>
      </w:r>
    </w:p>
    <w:p w14:paraId="43B2F12D" w14:textId="5F5548AB" w:rsidR="00216D2A" w:rsidRDefault="00216D2A" w:rsidP="006B183D">
      <w:pPr>
        <w:rPr>
          <w:rFonts w:hAnsi="ＭＳ 明朝"/>
          <w:color w:val="000000" w:themeColor="text1"/>
          <w:sz w:val="21"/>
          <w:szCs w:val="21"/>
        </w:rPr>
      </w:pPr>
      <w:r w:rsidRPr="0008325B">
        <w:rPr>
          <w:rFonts w:hAnsi="ＭＳ 明朝" w:hint="eastAsia"/>
          <w:color w:val="000000" w:themeColor="text1"/>
          <w:sz w:val="21"/>
          <w:szCs w:val="21"/>
        </w:rPr>
        <w:t xml:space="preserve">　いくら「生徒たちにつけたい力」が自覚できる「習得」「活用」を見据えた単元構成であっても、生徒たちに魅力的だとは限らない。何より、まず生徒たちが、「知りたい」「やってみたい」「学びたい」と思うかどうか、さらにやってみて「学びがいがある」「さらに学びたい」と思うかどうか、こそが問われる。目の前の生徒一人一人の学びを見取り、学びを刺激したり促進したりできるような「学びの場」を具体化していく。</w:t>
      </w:r>
    </w:p>
    <w:p w14:paraId="070819E6" w14:textId="3660D168" w:rsidR="006B183D" w:rsidRDefault="006B183D" w:rsidP="006B183D">
      <w:pPr>
        <w:rPr>
          <w:rFonts w:hAnsi="ＭＳ 明朝"/>
          <w:color w:val="000000" w:themeColor="text1"/>
          <w:sz w:val="21"/>
          <w:szCs w:val="21"/>
        </w:rPr>
      </w:pPr>
      <w:r>
        <w:rPr>
          <w:rFonts w:hAnsi="ＭＳ 明朝" w:hint="eastAsia"/>
          <w:color w:val="000000" w:themeColor="text1"/>
          <w:sz w:val="21"/>
          <w:szCs w:val="21"/>
        </w:rPr>
        <w:t>４　研究授業</w:t>
      </w:r>
    </w:p>
    <w:tbl>
      <w:tblPr>
        <w:tblStyle w:val="af0"/>
        <w:tblpPr w:leftFromText="142" w:rightFromText="142" w:vertAnchor="text" w:horzAnchor="margin" w:tblpY="102"/>
        <w:tblW w:w="0" w:type="auto"/>
        <w:tblLook w:val="04A0" w:firstRow="1" w:lastRow="0" w:firstColumn="1" w:lastColumn="0" w:noHBand="0" w:noVBand="1"/>
      </w:tblPr>
      <w:tblGrid>
        <w:gridCol w:w="4814"/>
        <w:gridCol w:w="4815"/>
      </w:tblGrid>
      <w:tr w:rsidR="006B183D" w14:paraId="33ED5D55" w14:textId="77777777" w:rsidTr="006B183D">
        <w:tc>
          <w:tcPr>
            <w:tcW w:w="4814" w:type="dxa"/>
          </w:tcPr>
          <w:p w14:paraId="48567DC6" w14:textId="77777777" w:rsidR="006B183D" w:rsidRDefault="006B183D" w:rsidP="006B183D">
            <w:pPr>
              <w:rPr>
                <w:rFonts w:hAnsi="ＭＳ 明朝"/>
                <w:color w:val="000000" w:themeColor="text1"/>
                <w:sz w:val="21"/>
                <w:szCs w:val="21"/>
              </w:rPr>
            </w:pPr>
            <w:r>
              <w:rPr>
                <w:rFonts w:hAnsi="ＭＳ 明朝" w:hint="eastAsia"/>
                <w:color w:val="000000" w:themeColor="text1"/>
                <w:sz w:val="21"/>
                <w:szCs w:val="21"/>
              </w:rPr>
              <w:t xml:space="preserve">　①　「ニュースの見方を考えよう」</w:t>
            </w:r>
          </w:p>
        </w:tc>
        <w:tc>
          <w:tcPr>
            <w:tcW w:w="4815" w:type="dxa"/>
          </w:tcPr>
          <w:p w14:paraId="3923F7FC" w14:textId="77777777" w:rsidR="006B183D" w:rsidRDefault="006B183D" w:rsidP="006B183D">
            <w:pPr>
              <w:rPr>
                <w:rFonts w:hAnsi="ＭＳ 明朝"/>
                <w:color w:val="000000" w:themeColor="text1"/>
                <w:sz w:val="21"/>
                <w:szCs w:val="21"/>
              </w:rPr>
            </w:pPr>
            <w:r>
              <w:rPr>
                <w:rFonts w:hAnsi="ＭＳ 明朝" w:hint="eastAsia"/>
                <w:color w:val="000000" w:themeColor="text1"/>
                <w:sz w:val="21"/>
                <w:szCs w:val="21"/>
              </w:rPr>
              <w:t xml:space="preserve">　④　「走れメロス」</w:t>
            </w:r>
          </w:p>
        </w:tc>
      </w:tr>
      <w:tr w:rsidR="006B183D" w14:paraId="1E22FAEB" w14:textId="77777777" w:rsidTr="006B183D">
        <w:tc>
          <w:tcPr>
            <w:tcW w:w="4814" w:type="dxa"/>
          </w:tcPr>
          <w:p w14:paraId="3422571A" w14:textId="77777777" w:rsidR="006B183D" w:rsidRDefault="006B183D" w:rsidP="006B183D">
            <w:pPr>
              <w:rPr>
                <w:rFonts w:hAnsi="ＭＳ 明朝"/>
                <w:color w:val="000000" w:themeColor="text1"/>
                <w:sz w:val="21"/>
                <w:szCs w:val="21"/>
              </w:rPr>
            </w:pPr>
            <w:r>
              <w:rPr>
                <w:rFonts w:hAnsi="ＭＳ 明朝" w:hint="eastAsia"/>
                <w:color w:val="000000" w:themeColor="text1"/>
                <w:sz w:val="21"/>
                <w:szCs w:val="21"/>
              </w:rPr>
              <w:t xml:space="preserve">　②　「黄金の扇風機」「サハラ砂漠の茶会」</w:t>
            </w:r>
          </w:p>
        </w:tc>
        <w:tc>
          <w:tcPr>
            <w:tcW w:w="4815" w:type="dxa"/>
          </w:tcPr>
          <w:p w14:paraId="24745664" w14:textId="77777777" w:rsidR="006B183D" w:rsidRDefault="006B183D" w:rsidP="006B183D">
            <w:pPr>
              <w:rPr>
                <w:rFonts w:hAnsi="ＭＳ 明朝"/>
                <w:color w:val="000000" w:themeColor="text1"/>
                <w:sz w:val="21"/>
                <w:szCs w:val="21"/>
              </w:rPr>
            </w:pPr>
            <w:r>
              <w:rPr>
                <w:rFonts w:hAnsi="ＭＳ 明朝" w:hint="eastAsia"/>
                <w:color w:val="000000" w:themeColor="text1"/>
                <w:sz w:val="21"/>
                <w:szCs w:val="21"/>
              </w:rPr>
              <w:t xml:space="preserve">　⑤　「オオカミを見る目」</w:t>
            </w:r>
          </w:p>
        </w:tc>
      </w:tr>
      <w:tr w:rsidR="006B183D" w14:paraId="2099A41C" w14:textId="77777777" w:rsidTr="006B183D">
        <w:tc>
          <w:tcPr>
            <w:tcW w:w="4814" w:type="dxa"/>
          </w:tcPr>
          <w:p w14:paraId="3F00D2E0" w14:textId="77777777" w:rsidR="006B183D" w:rsidRDefault="006B183D" w:rsidP="006B183D">
            <w:pPr>
              <w:rPr>
                <w:rFonts w:hAnsi="ＭＳ 明朝"/>
                <w:color w:val="000000" w:themeColor="text1"/>
                <w:sz w:val="21"/>
                <w:szCs w:val="21"/>
              </w:rPr>
            </w:pPr>
            <w:r>
              <w:rPr>
                <w:rFonts w:hAnsi="ＭＳ 明朝" w:hint="eastAsia"/>
                <w:color w:val="000000" w:themeColor="text1"/>
                <w:sz w:val="21"/>
                <w:szCs w:val="21"/>
              </w:rPr>
              <w:t xml:space="preserve">　③　「少年の日の思い出」「ごんぎつね」</w:t>
            </w:r>
          </w:p>
        </w:tc>
        <w:tc>
          <w:tcPr>
            <w:tcW w:w="4815" w:type="dxa"/>
          </w:tcPr>
          <w:p w14:paraId="1DA6BC7C" w14:textId="77777777" w:rsidR="006B183D" w:rsidRDefault="006B183D" w:rsidP="006B183D">
            <w:pPr>
              <w:rPr>
                <w:rFonts w:hAnsi="ＭＳ 明朝"/>
                <w:color w:val="000000" w:themeColor="text1"/>
                <w:sz w:val="21"/>
                <w:szCs w:val="21"/>
              </w:rPr>
            </w:pPr>
            <w:r>
              <w:rPr>
                <w:rFonts w:hAnsi="ＭＳ 明朝" w:hint="eastAsia"/>
                <w:color w:val="000000" w:themeColor="text1"/>
                <w:sz w:val="21"/>
                <w:szCs w:val="21"/>
              </w:rPr>
              <w:t xml:space="preserve">　⑥　「枕草子」</w:t>
            </w:r>
            <w:r>
              <w:rPr>
                <w:rFonts w:hAnsi="ＭＳ 明朝"/>
                <w:color w:val="000000" w:themeColor="text1"/>
                <w:sz w:val="21"/>
                <w:szCs w:val="21"/>
              </w:rPr>
              <w:tab/>
            </w:r>
            <w:r>
              <w:rPr>
                <w:rFonts w:hAnsi="ＭＳ 明朝"/>
                <w:color w:val="000000" w:themeColor="text1"/>
                <w:sz w:val="21"/>
                <w:szCs w:val="21"/>
              </w:rPr>
              <w:tab/>
            </w:r>
            <w:r>
              <w:rPr>
                <w:rFonts w:hAnsi="ＭＳ 明朝"/>
                <w:color w:val="000000" w:themeColor="text1"/>
                <w:sz w:val="21"/>
                <w:szCs w:val="21"/>
              </w:rPr>
              <w:tab/>
            </w:r>
            <w:r>
              <w:rPr>
                <w:rFonts w:hAnsi="ＭＳ 明朝"/>
                <w:color w:val="000000" w:themeColor="text1"/>
                <w:sz w:val="21"/>
                <w:szCs w:val="21"/>
              </w:rPr>
              <w:tab/>
            </w:r>
          </w:p>
        </w:tc>
      </w:tr>
    </w:tbl>
    <w:p w14:paraId="582A36F2" w14:textId="77777777" w:rsidR="00216D2A" w:rsidRPr="0008325B" w:rsidRDefault="00216D2A" w:rsidP="006B183D">
      <w:pPr>
        <w:rPr>
          <w:rFonts w:hAnsi="ＭＳ 明朝"/>
          <w:color w:val="000000" w:themeColor="text1"/>
          <w:sz w:val="21"/>
          <w:szCs w:val="21"/>
        </w:rPr>
      </w:pPr>
      <w:r w:rsidRPr="0008325B">
        <w:rPr>
          <w:rFonts w:hAnsi="ＭＳ 明朝" w:hint="eastAsia"/>
          <w:color w:val="000000" w:themeColor="text1"/>
          <w:sz w:val="21"/>
          <w:szCs w:val="21"/>
        </w:rPr>
        <w:t>５．研究の成果と課題</w:t>
      </w:r>
    </w:p>
    <w:p w14:paraId="668AC5A4" w14:textId="0DB71B41" w:rsidR="00216D2A" w:rsidRPr="0008325B" w:rsidRDefault="00216D2A" w:rsidP="006B183D">
      <w:pPr>
        <w:rPr>
          <w:rFonts w:hAnsi="ＭＳ 明朝"/>
          <w:color w:val="000000" w:themeColor="text1"/>
          <w:sz w:val="21"/>
          <w:szCs w:val="21"/>
        </w:rPr>
      </w:pPr>
      <w:r w:rsidRPr="0008325B">
        <w:rPr>
          <w:rFonts w:hAnsi="ＭＳ 明朝" w:hint="eastAsia"/>
          <w:sz w:val="21"/>
          <w:szCs w:val="21"/>
        </w:rPr>
        <w:t xml:space="preserve">　研究を重ねる中で様々な「言葉による見方・考え方」を働かせる実践を行ってきたが、可視化をすることによって生徒が「今自分がどんな見方・考え方を働かせて考えているのか」、「この時間を通してどんな見方・考え方が身についたのか」等を意識して学習することができるようになった。また、</w:t>
      </w:r>
      <w:r w:rsidRPr="0008325B">
        <w:rPr>
          <w:rFonts w:hAnsi="ＭＳ 明朝" w:hint="eastAsia"/>
          <w:color w:val="000000" w:themeColor="text1"/>
          <w:sz w:val="21"/>
          <w:szCs w:val="21"/>
        </w:rPr>
        <w:t>音楽や映像作品といった、生徒たちにより身近であるサブカルチャーを、「学びの場」の具体化として積極的に取り入れることで、国語の授業で習得した「言葉による見方・考え方」を日常の生活や他の学習につなげて活用しようとする姿が見えた。</w:t>
      </w:r>
    </w:p>
    <w:p w14:paraId="374637CF" w14:textId="77777777" w:rsidR="0008325B" w:rsidRPr="0008325B" w:rsidRDefault="00216D2A" w:rsidP="006B183D">
      <w:pPr>
        <w:rPr>
          <w:rFonts w:hAnsi="ＭＳ 明朝"/>
          <w:color w:val="000000" w:themeColor="text1"/>
          <w:sz w:val="21"/>
          <w:szCs w:val="21"/>
        </w:rPr>
      </w:pPr>
      <w:r w:rsidRPr="0008325B">
        <w:rPr>
          <w:rFonts w:hAnsi="ＭＳ 明朝" w:hint="eastAsia"/>
          <w:color w:val="000000" w:themeColor="text1"/>
          <w:sz w:val="21"/>
          <w:szCs w:val="21"/>
        </w:rPr>
        <w:t xml:space="preserve">　そして、教師の視点から、教材研究の際に、「この教材がどんな見方・考え方を習得させるのに効果的か」、「どういった見方・考え方を活用しながら読めば読みが深まるか」と考えることができ、単元の中で何を学び身につけさせるかが焦点化され、授業づくりに大いに役立ったという成果も見られた</w:t>
      </w:r>
      <w:r w:rsidR="0008325B" w:rsidRPr="0008325B">
        <w:rPr>
          <w:rFonts w:hAnsi="ＭＳ 明朝" w:hint="eastAsia"/>
          <w:color w:val="000000" w:themeColor="text1"/>
          <w:sz w:val="21"/>
          <w:szCs w:val="21"/>
        </w:rPr>
        <w:t>。</w:t>
      </w:r>
    </w:p>
    <w:p w14:paraId="631E7F24" w14:textId="527A4216" w:rsidR="00216D2A" w:rsidRPr="0008325B" w:rsidRDefault="00216D2A" w:rsidP="006B183D">
      <w:pPr>
        <w:ind w:firstLineChars="100" w:firstLine="186"/>
        <w:rPr>
          <w:rFonts w:hAnsi="ＭＳ 明朝"/>
          <w:sz w:val="21"/>
          <w:szCs w:val="21"/>
        </w:rPr>
      </w:pPr>
      <w:r w:rsidRPr="0008325B">
        <w:rPr>
          <w:rFonts w:hAnsi="ＭＳ 明朝" w:hint="eastAsia"/>
          <w:sz w:val="21"/>
          <w:szCs w:val="21"/>
        </w:rPr>
        <w:t>しかし、同時に課題も浮かび上がってきた。これまでは１単元の中では１教材ということが多かった。それを、何を学ぶかを焦点化し、１単元の中で活用を含め２教材以上をこれまでと同じ時間数で行うことで、多読を可能にし、読みの力を鍛えていくことを理想としている。だが、単元によっては、１つの教材に時間がかかってしまい、１単元の時間数が多くなってしまうことも起こった｡教材研究を進めれば進めるほど、学ばせたいことが増えてしまうことも一つの原因だと考えられるので、その中で特に何をおさえる単元とするのか、思い切って焦点化することが必要である。</w:t>
      </w:r>
    </w:p>
    <w:p w14:paraId="24006298" w14:textId="395B468E" w:rsidR="00216D2A" w:rsidRPr="0008325B" w:rsidRDefault="00216D2A" w:rsidP="006B183D">
      <w:pPr>
        <w:ind w:firstLine="278"/>
        <w:rPr>
          <w:rFonts w:hAnsi="ＭＳ 明朝"/>
          <w:sz w:val="21"/>
          <w:szCs w:val="21"/>
        </w:rPr>
      </w:pPr>
      <w:r w:rsidRPr="0008325B">
        <w:rPr>
          <w:rFonts w:hAnsi="ＭＳ 明朝" w:hint="eastAsia"/>
          <w:sz w:val="21"/>
          <w:szCs w:val="21"/>
        </w:rPr>
        <w:t>また、</w:t>
      </w:r>
      <w:r w:rsidR="00D348AA">
        <w:rPr>
          <w:rFonts w:hAnsi="ＭＳ 明朝" w:hint="eastAsia"/>
          <w:sz w:val="21"/>
          <w:szCs w:val="21"/>
        </w:rPr>
        <w:t>今後は</w:t>
      </w:r>
      <w:r w:rsidRPr="0008325B">
        <w:rPr>
          <w:rFonts w:hAnsi="ＭＳ 明朝" w:hint="eastAsia"/>
          <w:sz w:val="21"/>
          <w:szCs w:val="21"/>
        </w:rPr>
        <w:t>「読むこと」で習得したことを「書くこと」「話すこと・聞くこと」などにも活用していけるようにさらなる研究を進めていきたい。</w:t>
      </w:r>
    </w:p>
    <w:sectPr w:rsidR="00216D2A" w:rsidRPr="0008325B"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A99DD" w14:textId="77777777" w:rsidR="00DD34E1" w:rsidRDefault="00DD34E1" w:rsidP="00774BA4">
      <w:r>
        <w:separator/>
      </w:r>
    </w:p>
  </w:endnote>
  <w:endnote w:type="continuationSeparator" w:id="0">
    <w:p w14:paraId="0AB33270" w14:textId="77777777" w:rsidR="00DD34E1" w:rsidRDefault="00DD34E1"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BBF45" w14:textId="77777777" w:rsidR="00774BA4" w:rsidRDefault="00774BA4">
    <w:pPr>
      <w:pStyle w:val="ac"/>
      <w:jc w:val="center"/>
    </w:pPr>
  </w:p>
  <w:p w14:paraId="1F357CFB"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EBBC0" w14:textId="77777777" w:rsidR="00DD34E1" w:rsidRDefault="00DD34E1" w:rsidP="00774BA4">
      <w:r>
        <w:separator/>
      </w:r>
    </w:p>
  </w:footnote>
  <w:footnote w:type="continuationSeparator" w:id="0">
    <w:p w14:paraId="6B902178" w14:textId="77777777" w:rsidR="00DD34E1" w:rsidRDefault="00DD34E1"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44147942">
    <w:abstractNumId w:val="8"/>
  </w:num>
  <w:num w:numId="2" w16cid:durableId="489490247">
    <w:abstractNumId w:val="1"/>
  </w:num>
  <w:num w:numId="3" w16cid:durableId="527567202">
    <w:abstractNumId w:val="0"/>
  </w:num>
  <w:num w:numId="4" w16cid:durableId="2054843206">
    <w:abstractNumId w:val="15"/>
  </w:num>
  <w:num w:numId="5" w16cid:durableId="131289661">
    <w:abstractNumId w:val="22"/>
  </w:num>
  <w:num w:numId="6" w16cid:durableId="820343501">
    <w:abstractNumId w:val="3"/>
  </w:num>
  <w:num w:numId="7" w16cid:durableId="1414282734">
    <w:abstractNumId w:val="16"/>
  </w:num>
  <w:num w:numId="8" w16cid:durableId="713189337">
    <w:abstractNumId w:val="21"/>
  </w:num>
  <w:num w:numId="9" w16cid:durableId="419184736">
    <w:abstractNumId w:val="2"/>
  </w:num>
  <w:num w:numId="10" w16cid:durableId="1932159079">
    <w:abstractNumId w:val="5"/>
  </w:num>
  <w:num w:numId="11" w16cid:durableId="264777186">
    <w:abstractNumId w:val="12"/>
  </w:num>
  <w:num w:numId="12" w16cid:durableId="708384474">
    <w:abstractNumId w:val="19"/>
  </w:num>
  <w:num w:numId="13" w16cid:durableId="1727485750">
    <w:abstractNumId w:val="11"/>
  </w:num>
  <w:num w:numId="14" w16cid:durableId="1369525992">
    <w:abstractNumId w:val="14"/>
  </w:num>
  <w:num w:numId="15" w16cid:durableId="1349714722">
    <w:abstractNumId w:val="24"/>
  </w:num>
  <w:num w:numId="16" w16cid:durableId="73940714">
    <w:abstractNumId w:val="18"/>
  </w:num>
  <w:num w:numId="17" w16cid:durableId="67774828">
    <w:abstractNumId w:val="10"/>
  </w:num>
  <w:num w:numId="18" w16cid:durableId="1150244735">
    <w:abstractNumId w:val="17"/>
  </w:num>
  <w:num w:numId="19" w16cid:durableId="729695427">
    <w:abstractNumId w:val="4"/>
  </w:num>
  <w:num w:numId="20" w16cid:durableId="1047951459">
    <w:abstractNumId w:val="13"/>
  </w:num>
  <w:num w:numId="21" w16cid:durableId="142284458">
    <w:abstractNumId w:val="25"/>
  </w:num>
  <w:num w:numId="22" w16cid:durableId="898708010">
    <w:abstractNumId w:val="23"/>
  </w:num>
  <w:num w:numId="23" w16cid:durableId="1723598689">
    <w:abstractNumId w:val="7"/>
  </w:num>
  <w:num w:numId="24" w16cid:durableId="850677328">
    <w:abstractNumId w:val="6"/>
  </w:num>
  <w:num w:numId="25" w16cid:durableId="1790321609">
    <w:abstractNumId w:val="20"/>
  </w:num>
  <w:num w:numId="26" w16cid:durableId="5759365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E9A"/>
    <w:rsid w:val="000146B2"/>
    <w:rsid w:val="00015413"/>
    <w:rsid w:val="0002441C"/>
    <w:rsid w:val="00026DDF"/>
    <w:rsid w:val="00052916"/>
    <w:rsid w:val="00063B71"/>
    <w:rsid w:val="00065E9B"/>
    <w:rsid w:val="00076653"/>
    <w:rsid w:val="0008325B"/>
    <w:rsid w:val="00086E9A"/>
    <w:rsid w:val="000E1C36"/>
    <w:rsid w:val="00183B02"/>
    <w:rsid w:val="001A56C1"/>
    <w:rsid w:val="001D6519"/>
    <w:rsid w:val="00216D2A"/>
    <w:rsid w:val="00241235"/>
    <w:rsid w:val="0024708A"/>
    <w:rsid w:val="00257BC6"/>
    <w:rsid w:val="0026636F"/>
    <w:rsid w:val="002A5066"/>
    <w:rsid w:val="002E4220"/>
    <w:rsid w:val="00300B68"/>
    <w:rsid w:val="003D54CA"/>
    <w:rsid w:val="0042193A"/>
    <w:rsid w:val="004D116F"/>
    <w:rsid w:val="004D3220"/>
    <w:rsid w:val="004D6715"/>
    <w:rsid w:val="00524150"/>
    <w:rsid w:val="00536110"/>
    <w:rsid w:val="005420DA"/>
    <w:rsid w:val="00544D95"/>
    <w:rsid w:val="00581FAF"/>
    <w:rsid w:val="00594319"/>
    <w:rsid w:val="005C4466"/>
    <w:rsid w:val="005C502F"/>
    <w:rsid w:val="005C68D6"/>
    <w:rsid w:val="005D5CB6"/>
    <w:rsid w:val="005E74DC"/>
    <w:rsid w:val="006049C0"/>
    <w:rsid w:val="00610AD4"/>
    <w:rsid w:val="00623264"/>
    <w:rsid w:val="00624E7C"/>
    <w:rsid w:val="00636D66"/>
    <w:rsid w:val="006504C2"/>
    <w:rsid w:val="00682105"/>
    <w:rsid w:val="0068597A"/>
    <w:rsid w:val="006B183D"/>
    <w:rsid w:val="006C440E"/>
    <w:rsid w:val="006F2D3D"/>
    <w:rsid w:val="00703AE2"/>
    <w:rsid w:val="00723940"/>
    <w:rsid w:val="007443E6"/>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B0FB4"/>
    <w:rsid w:val="009D40F2"/>
    <w:rsid w:val="00A17B47"/>
    <w:rsid w:val="00A33C77"/>
    <w:rsid w:val="00A577A8"/>
    <w:rsid w:val="00AB3E85"/>
    <w:rsid w:val="00AD53A6"/>
    <w:rsid w:val="00B07D5F"/>
    <w:rsid w:val="00B53F67"/>
    <w:rsid w:val="00B66E90"/>
    <w:rsid w:val="00BA3E4C"/>
    <w:rsid w:val="00BA7417"/>
    <w:rsid w:val="00BD5D6F"/>
    <w:rsid w:val="00C112AB"/>
    <w:rsid w:val="00C247C6"/>
    <w:rsid w:val="00C255FB"/>
    <w:rsid w:val="00C27D66"/>
    <w:rsid w:val="00C5040E"/>
    <w:rsid w:val="00C51A3B"/>
    <w:rsid w:val="00C66B65"/>
    <w:rsid w:val="00CB003C"/>
    <w:rsid w:val="00D30A29"/>
    <w:rsid w:val="00D33891"/>
    <w:rsid w:val="00D348AA"/>
    <w:rsid w:val="00D4133F"/>
    <w:rsid w:val="00D54A09"/>
    <w:rsid w:val="00D76E67"/>
    <w:rsid w:val="00D9764E"/>
    <w:rsid w:val="00DB56F3"/>
    <w:rsid w:val="00DC665A"/>
    <w:rsid w:val="00DD34E1"/>
    <w:rsid w:val="00E2035A"/>
    <w:rsid w:val="00E23319"/>
    <w:rsid w:val="00E42DD0"/>
    <w:rsid w:val="00E50511"/>
    <w:rsid w:val="00E713C5"/>
    <w:rsid w:val="00E84570"/>
    <w:rsid w:val="00F165B9"/>
    <w:rsid w:val="00F25FA6"/>
    <w:rsid w:val="00F76F55"/>
    <w:rsid w:val="00F80809"/>
    <w:rsid w:val="00F80DCD"/>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D13ADD"/>
  <w15:docId w15:val="{8AC54C8A-03E3-4E24-975A-D436A259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063B71"/>
    <w:pPr>
      <w:keepNext/>
      <w:outlineLvl w:val="0"/>
    </w:pPr>
    <w:rPr>
      <w:rFonts w:ascii="Arial" w:eastAsia="ＭＳ ゴシック" w:hAnsi="Arial"/>
    </w:rPr>
  </w:style>
  <w:style w:type="paragraph" w:styleId="3">
    <w:name w:val="heading 3"/>
    <w:basedOn w:val="a"/>
    <w:qFormat/>
    <w:rsid w:val="00063B71"/>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63B71"/>
  </w:style>
  <w:style w:type="paragraph" w:styleId="a4">
    <w:name w:val="Salutation"/>
    <w:basedOn w:val="a"/>
    <w:next w:val="a"/>
    <w:rsid w:val="00063B71"/>
  </w:style>
  <w:style w:type="paragraph" w:styleId="a5">
    <w:name w:val="Closing"/>
    <w:basedOn w:val="a"/>
    <w:next w:val="a"/>
    <w:rsid w:val="00063B71"/>
    <w:pPr>
      <w:jc w:val="right"/>
    </w:pPr>
  </w:style>
  <w:style w:type="paragraph" w:styleId="a6">
    <w:name w:val="Note Heading"/>
    <w:basedOn w:val="a"/>
    <w:next w:val="a"/>
    <w:link w:val="a7"/>
    <w:rsid w:val="00063B71"/>
    <w:pPr>
      <w:jc w:val="center"/>
    </w:pPr>
  </w:style>
  <w:style w:type="paragraph" w:styleId="Web">
    <w:name w:val="Normal (Web)"/>
    <w:basedOn w:val="a"/>
    <w:rsid w:val="00063B71"/>
    <w:pPr>
      <w:widowControl/>
      <w:spacing w:before="100" w:beforeAutospacing="1" w:after="100" w:afterAutospacing="1"/>
      <w:jc w:val="left"/>
    </w:pPr>
    <w:rPr>
      <w:rFonts w:hAnsi="ＭＳ 明朝"/>
      <w:kern w:val="0"/>
      <w:szCs w:val="24"/>
    </w:rPr>
  </w:style>
  <w:style w:type="character" w:styleId="a8">
    <w:name w:val="Hyperlink"/>
    <w:rsid w:val="00063B71"/>
    <w:rPr>
      <w:color w:val="0000FF"/>
      <w:u w:val="single"/>
    </w:rPr>
  </w:style>
  <w:style w:type="paragraph" w:styleId="z-">
    <w:name w:val="HTML Top of Form"/>
    <w:basedOn w:val="a"/>
    <w:next w:val="a"/>
    <w:hidden/>
    <w:rsid w:val="00063B71"/>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063B71"/>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063B71"/>
    <w:pPr>
      <w:ind w:leftChars="200" w:left="2688" w:hangingChars="600" w:hanging="2256"/>
    </w:pPr>
    <w:rPr>
      <w:sz w:val="40"/>
    </w:rPr>
  </w:style>
  <w:style w:type="paragraph" w:customStyle="1" w:styleId="serch">
    <w:name w:val="serch"/>
    <w:basedOn w:val="a"/>
    <w:rsid w:val="00063B71"/>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063B71"/>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063B71"/>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063B71"/>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063B71"/>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063B71"/>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063B71"/>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063B71"/>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063B71"/>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063B71"/>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063B71"/>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063B71"/>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063B71"/>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063B71"/>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063B71"/>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063B71"/>
    <w:rPr>
      <w:strike w:val="0"/>
      <w:dstrike w:val="0"/>
      <w:color w:val="FF6600"/>
      <w:u w:val="single"/>
      <w:effect w:val="none"/>
    </w:rPr>
  </w:style>
  <w:style w:type="character" w:customStyle="1" w:styleId="11">
    <w:name w:val="表示したハイパーリンク1"/>
    <w:rsid w:val="00063B71"/>
    <w:rPr>
      <w:strike w:val="0"/>
      <w:dstrike w:val="0"/>
      <w:color w:val="FF6600"/>
      <w:u w:val="single"/>
      <w:effect w:val="none"/>
    </w:rPr>
  </w:style>
  <w:style w:type="character" w:customStyle="1" w:styleId="2">
    <w:name w:val="ハイパーリンク2"/>
    <w:rsid w:val="00063B71"/>
    <w:rPr>
      <w:strike w:val="0"/>
      <w:dstrike w:val="0"/>
      <w:color w:val="396CC1"/>
      <w:u w:val="none"/>
      <w:effect w:val="none"/>
    </w:rPr>
  </w:style>
  <w:style w:type="character" w:customStyle="1" w:styleId="20">
    <w:name w:val="表示したハイパーリンク2"/>
    <w:rsid w:val="00063B71"/>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 w:type="table" w:styleId="af0">
    <w:name w:val="Table Grid"/>
    <w:basedOn w:val="a1"/>
    <w:uiPriority w:val="39"/>
    <w:rsid w:val="00216D2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semiHidden/>
    <w:unhideWhenUsed/>
    <w:rsid w:val="00216D2A"/>
    <w:pPr>
      <w:snapToGrid w:val="0"/>
      <w:jc w:val="left"/>
    </w:pPr>
    <w:rPr>
      <w:rFonts w:asciiTheme="minorHAnsi" w:eastAsiaTheme="minorEastAsia" w:hAnsiTheme="minorHAnsi" w:cstheme="minorBidi"/>
      <w:sz w:val="21"/>
      <w:szCs w:val="22"/>
    </w:rPr>
  </w:style>
  <w:style w:type="character" w:customStyle="1" w:styleId="af2">
    <w:name w:val="脚注文字列 (文字)"/>
    <w:basedOn w:val="a0"/>
    <w:link w:val="af1"/>
    <w:uiPriority w:val="99"/>
    <w:semiHidden/>
    <w:rsid w:val="00216D2A"/>
    <w:rPr>
      <w:rFonts w:asciiTheme="minorHAnsi" w:eastAsiaTheme="minorEastAsia" w:hAnsiTheme="minorHAnsi" w:cstheme="minorBidi"/>
      <w:kern w:val="2"/>
      <w:sz w:val="21"/>
      <w:szCs w:val="22"/>
    </w:rPr>
  </w:style>
  <w:style w:type="character" w:styleId="af3">
    <w:name w:val="footnote reference"/>
    <w:basedOn w:val="a0"/>
    <w:uiPriority w:val="99"/>
    <w:semiHidden/>
    <w:unhideWhenUsed/>
    <w:rsid w:val="00216D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Owner</cp:lastModifiedBy>
  <cp:revision>2</cp:revision>
  <cp:lastPrinted>2020-05-20T12:42:00Z</cp:lastPrinted>
  <dcterms:created xsi:type="dcterms:W3CDTF">2023-08-18T00:11:00Z</dcterms:created>
  <dcterms:modified xsi:type="dcterms:W3CDTF">2023-08-18T00:11:00Z</dcterms:modified>
</cp:coreProperties>
</file>